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47" w:rsidRPr="0041134A" w:rsidRDefault="008D5D47" w:rsidP="00C270ED">
      <w:pPr>
        <w:pStyle w:val="Heading2"/>
        <w:numPr>
          <w:ilvl w:val="0"/>
          <w:numId w:val="0"/>
        </w:numPr>
        <w:spacing w:before="0" w:after="0"/>
      </w:pPr>
      <w:r w:rsidRPr="0041134A">
        <w:t>ELEKTRONINĖS LICENCIJOS KIEKIŲ APSKAITOS DUOMENŲ ATVAIZDAVIMAS</w:t>
      </w:r>
    </w:p>
    <w:p w:rsidR="0041134A" w:rsidRPr="00C270ED" w:rsidRDefault="0041134A" w:rsidP="00C270ED">
      <w:pPr>
        <w:numPr>
          <w:ilvl w:val="0"/>
          <w:numId w:val="0"/>
        </w:numPr>
        <w:spacing w:line="240" w:lineRule="auto"/>
        <w:jc w:val="center"/>
      </w:pPr>
    </w:p>
    <w:p w:rsidR="00495EF7" w:rsidRPr="00C270ED" w:rsidRDefault="00495EF7" w:rsidP="00117697">
      <w:pPr>
        <w:pStyle w:val="ListParagraph"/>
        <w:numPr>
          <w:ilvl w:val="0"/>
          <w:numId w:val="12"/>
        </w:numPr>
        <w:tabs>
          <w:tab w:val="clear" w:pos="284"/>
          <w:tab w:val="clear" w:pos="454"/>
        </w:tabs>
        <w:spacing w:line="240" w:lineRule="auto"/>
        <w:ind w:left="0" w:firstLine="851"/>
        <w:contextualSpacing w:val="0"/>
      </w:pPr>
      <w:r w:rsidRPr="0041134A">
        <w:rPr>
          <w:color w:val="000000"/>
        </w:rPr>
        <w:t>Elektroninės importo, eksporto licencijos (AGRIM, AGREX) 29–32 langeliai užpildomi taip:</w:t>
      </w:r>
    </w:p>
    <w:p w:rsidR="00B8315D" w:rsidRPr="00117697" w:rsidRDefault="000D2DE2" w:rsidP="00117697">
      <w:pPr>
        <w:pStyle w:val="ListParagraph"/>
        <w:numPr>
          <w:ilvl w:val="1"/>
          <w:numId w:val="16"/>
        </w:numPr>
        <w:tabs>
          <w:tab w:val="clear" w:pos="284"/>
          <w:tab w:val="clear" w:pos="454"/>
          <w:tab w:val="clear" w:pos="1571"/>
          <w:tab w:val="left" w:pos="851"/>
        </w:tabs>
        <w:spacing w:line="240" w:lineRule="auto"/>
        <w:ind w:left="0" w:firstLine="851"/>
      </w:pPr>
      <w:bookmarkStart w:id="0" w:name="part_cebf0c4fe4314e10a36187bfd857b9b4"/>
      <w:bookmarkEnd w:id="0"/>
      <w:r>
        <w:rPr>
          <w:color w:val="000000"/>
        </w:rPr>
        <w:t xml:space="preserve"> </w:t>
      </w:r>
      <w:r w:rsidR="00495EF7" w:rsidRPr="00117697">
        <w:rPr>
          <w:color w:val="000000"/>
        </w:rPr>
        <w:t>29-o langelio 1-oje dalyje yra nurodomas prekės kiekis ir matavimo vienetas iš minėtos licencijos 17-o langelio. Jeigu licencijos 19-ame langelyje nurodyta leistina paklaida nelygi nuliui, šiame langelyje nurodomas prekės kiekis, padidintas atitinkamu leistinu procentu, pvz., 17-ame licencijos langelyje nurodytas skaičius 100, o 19-ame langelyje – skaičius 5, tuomet 29</w:t>
      </w:r>
      <w:r w:rsidR="00BD47C6" w:rsidRPr="00117697">
        <w:rPr>
          <w:color w:val="000000"/>
        </w:rPr>
        <w:t>-o langelio 1-oje dalyje nurodomas skaičius</w:t>
      </w:r>
      <w:r w:rsidR="00495EF7" w:rsidRPr="00117697">
        <w:rPr>
          <w:color w:val="000000"/>
        </w:rPr>
        <w:t xml:space="preserve"> 105</w:t>
      </w:r>
      <w:r w:rsidR="0041134A" w:rsidRPr="00117697">
        <w:rPr>
          <w:color w:val="000000"/>
        </w:rPr>
        <w:t>.</w:t>
      </w:r>
      <w:r w:rsidR="009B0ADD" w:rsidRPr="00117697">
        <w:rPr>
          <w:color w:val="000000"/>
        </w:rPr>
        <w:t xml:space="preserve"> </w:t>
      </w:r>
    </w:p>
    <w:p w:rsidR="009B0ADD" w:rsidRDefault="009B0ADD" w:rsidP="00117697">
      <w:pPr>
        <w:pStyle w:val="ListParagraph"/>
        <w:numPr>
          <w:ilvl w:val="0"/>
          <w:numId w:val="0"/>
        </w:numPr>
        <w:tabs>
          <w:tab w:val="clear" w:pos="284"/>
          <w:tab w:val="clear" w:pos="454"/>
        </w:tabs>
        <w:spacing w:line="240" w:lineRule="auto"/>
        <w:ind w:firstLine="851"/>
      </w:pPr>
      <w:r>
        <w:t>Licencijos 29 langelyje kiekis su leistina paklaida apskaičiuojamas taikant apvalinimo taisykles:</w:t>
      </w:r>
    </w:p>
    <w:p w:rsidR="009B0ADD" w:rsidRDefault="000D2DE2" w:rsidP="00117697">
      <w:pPr>
        <w:pStyle w:val="ListParagraph"/>
        <w:numPr>
          <w:ilvl w:val="0"/>
          <w:numId w:val="0"/>
        </w:numPr>
        <w:tabs>
          <w:tab w:val="left" w:pos="1134"/>
          <w:tab w:val="left" w:pos="1440"/>
        </w:tabs>
        <w:spacing w:line="240" w:lineRule="auto"/>
        <w:ind w:firstLine="851"/>
      </w:pPr>
      <w:r>
        <w:t>1.1</w:t>
      </w:r>
      <w:r w:rsidR="009B0ADD">
        <w:t>.</w:t>
      </w:r>
      <w:r>
        <w:t>1.</w:t>
      </w:r>
      <w:r w:rsidR="009B0ADD">
        <w:t xml:space="preserve"> jei pirmas skaičius po kablelio yra penki ar daugiau, kiekis suapvalinamas iki artimiausio didžiausio 17 langelyje nurodyto matavimo vieneto sveikojo skaičiaus. Jei pirmas skaičius po kablelio yra mažesnis už penkis, skaičius po kablelio yra išbraukiamas.</w:t>
      </w:r>
    </w:p>
    <w:p w:rsidR="009B0ADD" w:rsidRDefault="000D2DE2" w:rsidP="00117697">
      <w:pPr>
        <w:pStyle w:val="ListParagraph"/>
        <w:numPr>
          <w:ilvl w:val="0"/>
          <w:numId w:val="0"/>
        </w:numPr>
        <w:tabs>
          <w:tab w:val="left" w:pos="1134"/>
          <w:tab w:val="left" w:pos="1440"/>
        </w:tabs>
        <w:spacing w:line="240" w:lineRule="auto"/>
        <w:ind w:firstLine="851"/>
      </w:pPr>
      <w:r>
        <w:t>1.1.2.</w:t>
      </w:r>
      <w:r w:rsidR="009B0ADD">
        <w:t xml:space="preserve"> jei kiekis susijęs su gyvulių skaičiumi, kiekis suapvalinamas iki didesnio sveikojo gyvulių skaičiaus.</w:t>
      </w:r>
    </w:p>
    <w:p w:rsidR="00495EF7" w:rsidRPr="00C270ED" w:rsidRDefault="009B0ADD" w:rsidP="00117697">
      <w:pPr>
        <w:numPr>
          <w:ilvl w:val="0"/>
          <w:numId w:val="12"/>
        </w:numPr>
        <w:tabs>
          <w:tab w:val="clear" w:pos="284"/>
          <w:tab w:val="clear" w:pos="454"/>
          <w:tab w:val="left" w:pos="1134"/>
          <w:tab w:val="left" w:pos="1276"/>
          <w:tab w:val="left" w:pos="1418"/>
        </w:tabs>
        <w:spacing w:line="240" w:lineRule="auto"/>
        <w:ind w:left="0" w:firstLine="851"/>
      </w:pPr>
      <w:r>
        <w:t>Pvz., jei kiekis, pritaikius leistiną paklaidą, yra 101,4 KGM, licencijos 29 langelyje bus įrašoma 101 KGM. Jei kiekis, pritaikius leistiną paklaidą, yra 101,5 KGM, licencijos 29 langelyje bus įrašoma 102 KGM</w:t>
      </w:r>
      <w:r w:rsidR="000D2DE2">
        <w:t>.</w:t>
      </w:r>
      <w:bookmarkStart w:id="1" w:name="part_c4d48368a2694ad4bc6fc5304595bbb2"/>
      <w:bookmarkEnd w:id="1"/>
      <w:r w:rsidR="00495EF7" w:rsidRPr="0041134A">
        <w:rPr>
          <w:color w:val="000000"/>
        </w:rPr>
        <w:t xml:space="preserve">29-o langelio 2-oje dalyje </w:t>
      </w:r>
      <w:r w:rsidR="00BD47C6" w:rsidRPr="0041134A">
        <w:rPr>
          <w:color w:val="000000"/>
        </w:rPr>
        <w:t xml:space="preserve">yra nurodomas pagal elektronines </w:t>
      </w:r>
      <w:r w:rsidR="00D723D7" w:rsidRPr="0041134A">
        <w:rPr>
          <w:color w:val="000000"/>
        </w:rPr>
        <w:t xml:space="preserve">užklausas rezervuotas, patvirtintas, </w:t>
      </w:r>
      <w:r w:rsidR="00D769FC" w:rsidRPr="0041134A">
        <w:rPr>
          <w:color w:val="000000"/>
        </w:rPr>
        <w:t xml:space="preserve">taisytas, </w:t>
      </w:r>
      <w:r w:rsidR="00D723D7" w:rsidRPr="0041134A">
        <w:rPr>
          <w:color w:val="000000"/>
        </w:rPr>
        <w:t>anuliuotas</w:t>
      </w:r>
      <w:r w:rsidR="00BD47C6" w:rsidRPr="0041134A">
        <w:rPr>
          <w:color w:val="000000"/>
        </w:rPr>
        <w:t xml:space="preserve"> prekės kiekis ir matavimo vienetas.</w:t>
      </w:r>
    </w:p>
    <w:p w:rsidR="00495EF7" w:rsidRPr="0041134A" w:rsidRDefault="00495EF7" w:rsidP="00117697">
      <w:pPr>
        <w:numPr>
          <w:ilvl w:val="0"/>
          <w:numId w:val="12"/>
        </w:numPr>
        <w:tabs>
          <w:tab w:val="clear" w:pos="284"/>
          <w:tab w:val="clear" w:pos="454"/>
          <w:tab w:val="left" w:pos="1134"/>
          <w:tab w:val="left" w:pos="1276"/>
          <w:tab w:val="left" w:pos="1418"/>
        </w:tabs>
        <w:spacing w:line="240" w:lineRule="auto"/>
        <w:ind w:left="0" w:firstLine="851"/>
      </w:pPr>
      <w:bookmarkStart w:id="2" w:name="part_e9d325cb14bd4a6c844bf9429d53217f"/>
      <w:bookmarkStart w:id="3" w:name="part_1f9542008c134c4784527cb69a71355a"/>
      <w:bookmarkEnd w:id="2"/>
      <w:bookmarkEnd w:id="3"/>
      <w:r w:rsidRPr="0041134A">
        <w:rPr>
          <w:color w:val="000000"/>
        </w:rPr>
        <w:t>29-</w:t>
      </w:r>
      <w:r w:rsidR="00BD47C6" w:rsidRPr="0041134A">
        <w:rPr>
          <w:color w:val="000000"/>
        </w:rPr>
        <w:t>o langelio 1-oje dalyje nurodomas</w:t>
      </w:r>
      <w:r w:rsidRPr="0041134A">
        <w:rPr>
          <w:color w:val="000000"/>
        </w:rPr>
        <w:t xml:space="preserve"> likęs dar neeksportuotų</w:t>
      </w:r>
      <w:r w:rsidR="00BD47C6" w:rsidRPr="0041134A">
        <w:rPr>
          <w:color w:val="000000"/>
        </w:rPr>
        <w:t>/neimportuotų</w:t>
      </w:r>
      <w:r w:rsidRPr="0041134A">
        <w:rPr>
          <w:color w:val="000000"/>
        </w:rPr>
        <w:t xml:space="preserve"> pr</w:t>
      </w:r>
      <w:r w:rsidR="00BD47C6" w:rsidRPr="0041134A">
        <w:rPr>
          <w:color w:val="000000"/>
        </w:rPr>
        <w:t>ekių kiekis. Šis kiekis apskaičiuojamas taip:</w:t>
      </w:r>
      <w:r w:rsidRPr="0041134A">
        <w:rPr>
          <w:color w:val="000000"/>
        </w:rPr>
        <w:t xml:space="preserve"> iš aukščiau esančioje eilutėje 29-o langelio 1-oje dalyje nurodyto turimo kiekio atėmus šioje eilutėje 29-o lange</w:t>
      </w:r>
      <w:r w:rsidR="00BD47C6" w:rsidRPr="0041134A">
        <w:rPr>
          <w:color w:val="000000"/>
        </w:rPr>
        <w:t>lio 2-oje dalyje nurodytą kiekį.</w:t>
      </w:r>
    </w:p>
    <w:p w:rsidR="00495EF7" w:rsidRPr="0041134A" w:rsidRDefault="00495EF7" w:rsidP="00117697">
      <w:pPr>
        <w:numPr>
          <w:ilvl w:val="0"/>
          <w:numId w:val="12"/>
        </w:numPr>
        <w:tabs>
          <w:tab w:val="clear" w:pos="284"/>
          <w:tab w:val="clear" w:pos="454"/>
          <w:tab w:val="left" w:pos="1134"/>
          <w:tab w:val="left" w:pos="1276"/>
          <w:tab w:val="left" w:pos="1418"/>
        </w:tabs>
        <w:spacing w:line="240" w:lineRule="auto"/>
        <w:ind w:left="0" w:firstLine="851"/>
      </w:pPr>
      <w:bookmarkStart w:id="4" w:name="part_4d6f5e68a55b493ea87cd77ab8334edc"/>
      <w:bookmarkStart w:id="5" w:name="part_76f21ac052e64544b1ae48572629fef6"/>
      <w:bookmarkStart w:id="6" w:name="part_6c2db6be5b824c149b1561d25b550e21"/>
      <w:bookmarkEnd w:id="4"/>
      <w:bookmarkEnd w:id="5"/>
      <w:bookmarkEnd w:id="6"/>
      <w:r w:rsidRPr="0041134A">
        <w:rPr>
          <w:color w:val="000000"/>
        </w:rPr>
        <w:t>31-ame lan</w:t>
      </w:r>
      <w:r w:rsidR="00BD47C6" w:rsidRPr="0041134A">
        <w:rPr>
          <w:color w:val="000000"/>
        </w:rPr>
        <w:t>gelyje nurodomas</w:t>
      </w:r>
      <w:r w:rsidRPr="0041134A">
        <w:rPr>
          <w:color w:val="000000"/>
        </w:rPr>
        <w:t xml:space="preserve"> eksporto</w:t>
      </w:r>
      <w:r w:rsidR="00BD47C6" w:rsidRPr="0041134A">
        <w:rPr>
          <w:color w:val="000000"/>
        </w:rPr>
        <w:t>/importo</w:t>
      </w:r>
      <w:r w:rsidRPr="0041134A">
        <w:rPr>
          <w:color w:val="000000"/>
        </w:rPr>
        <w:t xml:space="preserve"> deklaracijos numeris ir </w:t>
      </w:r>
      <w:r w:rsidR="00BD47C6" w:rsidRPr="0041134A">
        <w:rPr>
          <w:color w:val="000000"/>
        </w:rPr>
        <w:t xml:space="preserve">eksporto/importo deklaracijos priėmimo data bei </w:t>
      </w:r>
      <w:r w:rsidR="001806AF" w:rsidRPr="0041134A">
        <w:rPr>
          <w:color w:val="000000"/>
        </w:rPr>
        <w:t xml:space="preserve">kiekio </w:t>
      </w:r>
      <w:r w:rsidR="00BD47C6" w:rsidRPr="0041134A">
        <w:rPr>
          <w:color w:val="000000"/>
        </w:rPr>
        <w:t>būsena:</w:t>
      </w:r>
    </w:p>
    <w:p w:rsidR="001806A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806AF" w:rsidRPr="0041134A">
        <w:rPr>
          <w:color w:val="000000"/>
        </w:rPr>
        <w:t>.1.</w:t>
      </w:r>
      <w:r w:rsidR="0041134A">
        <w:rPr>
          <w:color w:val="000000"/>
        </w:rPr>
        <w:tab/>
      </w:r>
      <w:r w:rsidR="001806AF" w:rsidRPr="0041134A">
        <w:rPr>
          <w:color w:val="000000"/>
        </w:rPr>
        <w:t>rezervuotam kiekiui – „Rezervuota“</w:t>
      </w:r>
      <w:r w:rsidR="00A93D2F">
        <w:rPr>
          <w:color w:val="000000"/>
        </w:rPr>
        <w:t xml:space="preserve">, kai eksporto/importo deklaracija yra priimta, </w:t>
      </w:r>
      <w:proofErr w:type="spellStart"/>
      <w:r w:rsidR="00A93D2F">
        <w:rPr>
          <w:color w:val="000000"/>
        </w:rPr>
        <w:t>t.y</w:t>
      </w:r>
      <w:proofErr w:type="spellEnd"/>
      <w:r w:rsidR="00A93D2F">
        <w:rPr>
          <w:color w:val="000000"/>
        </w:rPr>
        <w:t>. jai suteiktas MRN</w:t>
      </w:r>
      <w:r w:rsidR="001806AF" w:rsidRPr="0041134A">
        <w:rPr>
          <w:color w:val="000000"/>
        </w:rPr>
        <w:t>;</w:t>
      </w:r>
    </w:p>
    <w:p w:rsidR="00DD07C4"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806AF" w:rsidRPr="0041134A">
        <w:rPr>
          <w:color w:val="000000"/>
        </w:rPr>
        <w:t>.2.</w:t>
      </w:r>
      <w:r w:rsidR="0041134A">
        <w:rPr>
          <w:color w:val="000000"/>
        </w:rPr>
        <w:tab/>
      </w:r>
      <w:r w:rsidR="001806AF" w:rsidRPr="0041134A">
        <w:rPr>
          <w:color w:val="000000"/>
        </w:rPr>
        <w:t>anuliuotam kiekiui – „Neišleista“</w:t>
      </w:r>
      <w:r w:rsidR="00DD07C4">
        <w:rPr>
          <w:color w:val="000000"/>
        </w:rPr>
        <w:t>, kai eksporto</w:t>
      </w:r>
      <w:r w:rsidR="007661A4">
        <w:rPr>
          <w:color w:val="000000"/>
        </w:rPr>
        <w:t>/importo muitinės</w:t>
      </w:r>
      <w:r w:rsidR="00DD07C4">
        <w:rPr>
          <w:color w:val="000000"/>
        </w:rPr>
        <w:t xml:space="preserve"> įstaiga priima sprendimą prekių neišleisti</w:t>
      </w:r>
      <w:r w:rsidR="007661A4">
        <w:rPr>
          <w:color w:val="000000"/>
        </w:rPr>
        <w:t>;</w:t>
      </w:r>
      <w:r w:rsidR="00DD07C4">
        <w:rPr>
          <w:color w:val="000000"/>
        </w:rPr>
        <w:t xml:space="preserve"> </w:t>
      </w:r>
    </w:p>
    <w:p w:rsidR="001806A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DD07C4">
        <w:rPr>
          <w:color w:val="000000"/>
        </w:rPr>
        <w:t>.3.</w:t>
      </w:r>
      <w:r w:rsidR="0041134A">
        <w:rPr>
          <w:color w:val="000000"/>
        </w:rPr>
        <w:tab/>
      </w:r>
      <w:r w:rsidR="001806AF" w:rsidRPr="0041134A">
        <w:rPr>
          <w:color w:val="000000"/>
        </w:rPr>
        <w:t>anuliuotam kiekiui – „</w:t>
      </w:r>
      <w:r w:rsidR="001806AF" w:rsidRPr="00953F58">
        <w:rPr>
          <w:color w:val="000000"/>
        </w:rPr>
        <w:t>Anuliuota“</w:t>
      </w:r>
      <w:r w:rsidR="00DD07C4" w:rsidRPr="00953F58">
        <w:rPr>
          <w:color w:val="000000"/>
        </w:rPr>
        <w:t>,</w:t>
      </w:r>
      <w:r w:rsidR="00DD07C4">
        <w:rPr>
          <w:color w:val="000000"/>
        </w:rPr>
        <w:t xml:space="preserve"> kai importo/eksporto deklaracija anuliuojama </w:t>
      </w:r>
      <w:r w:rsidR="009D641C" w:rsidRPr="0041134A">
        <w:rPr>
          <w:lang w:eastAsia="ja-JP"/>
        </w:rPr>
        <w:t>įforminimo metu arba po išleidim</w:t>
      </w:r>
      <w:r w:rsidR="00DD07C4">
        <w:rPr>
          <w:lang w:eastAsia="ja-JP"/>
        </w:rPr>
        <w:t>o</w:t>
      </w:r>
      <w:r w:rsidR="00953F58">
        <w:rPr>
          <w:lang w:eastAsia="ja-JP"/>
        </w:rPr>
        <w:t>, arba po muitinio įforminimo</w:t>
      </w:r>
      <w:r w:rsidR="001806AF" w:rsidRPr="0041134A">
        <w:rPr>
          <w:color w:val="000000"/>
        </w:rPr>
        <w:t>;</w:t>
      </w:r>
    </w:p>
    <w:p w:rsidR="001806A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806AF" w:rsidRPr="0041134A">
        <w:rPr>
          <w:color w:val="000000"/>
        </w:rPr>
        <w:t>.4.</w:t>
      </w:r>
      <w:r w:rsidR="0041134A">
        <w:rPr>
          <w:color w:val="000000"/>
        </w:rPr>
        <w:tab/>
      </w:r>
      <w:r w:rsidR="001806AF" w:rsidRPr="0041134A">
        <w:rPr>
          <w:color w:val="000000"/>
        </w:rPr>
        <w:t xml:space="preserve">taisytam kiekiui – „Taisymas po </w:t>
      </w:r>
      <w:r>
        <w:rPr>
          <w:color w:val="000000"/>
        </w:rPr>
        <w:t xml:space="preserve">muitinio </w:t>
      </w:r>
      <w:r w:rsidR="001806AF" w:rsidRPr="0041134A">
        <w:rPr>
          <w:color w:val="000000"/>
        </w:rPr>
        <w:t>įforminimo“</w:t>
      </w:r>
      <w:r w:rsidR="00DD07C4">
        <w:rPr>
          <w:color w:val="000000"/>
        </w:rPr>
        <w:t xml:space="preserve">, kai </w:t>
      </w:r>
      <w:r w:rsidR="00DD07C4">
        <w:rPr>
          <w:lang w:eastAsia="ja-JP"/>
        </w:rPr>
        <w:t>po muitinio įforminimo yra pataisomi importo/eksporto deklaracijos duomenys</w:t>
      </w:r>
      <w:r w:rsidR="00DD07C4">
        <w:rPr>
          <w:color w:val="000000"/>
        </w:rPr>
        <w:t>;</w:t>
      </w:r>
    </w:p>
    <w:p w:rsidR="001806A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806AF" w:rsidRPr="0041134A">
        <w:rPr>
          <w:color w:val="000000"/>
        </w:rPr>
        <w:t>.5.</w:t>
      </w:r>
      <w:r w:rsidR="0041134A">
        <w:rPr>
          <w:color w:val="000000"/>
        </w:rPr>
        <w:tab/>
      </w:r>
      <w:r w:rsidR="001806AF" w:rsidRPr="0041134A">
        <w:rPr>
          <w:color w:val="000000"/>
        </w:rPr>
        <w:t>grąžintam kiekiui – „Reimportas“</w:t>
      </w:r>
      <w:r w:rsidR="00DD07C4">
        <w:rPr>
          <w:color w:val="000000"/>
        </w:rPr>
        <w:t xml:space="preserve">, kai </w:t>
      </w:r>
      <w:r w:rsidR="00DD07C4">
        <w:rPr>
          <w:lang w:eastAsia="ja-JP"/>
        </w:rPr>
        <w:t xml:space="preserve">yra gaunama </w:t>
      </w:r>
      <w:r w:rsidR="00DD07C4">
        <w:rPr>
          <w:color w:val="000000"/>
        </w:rPr>
        <w:t xml:space="preserve">eksportuotiems produktams, kurie buvo </w:t>
      </w:r>
      <w:proofErr w:type="spellStart"/>
      <w:r w:rsidR="00DD07C4">
        <w:rPr>
          <w:color w:val="000000"/>
        </w:rPr>
        <w:t>reimportuoti</w:t>
      </w:r>
      <w:proofErr w:type="spellEnd"/>
      <w:r w:rsidR="00DD07C4">
        <w:rPr>
          <w:color w:val="000000"/>
        </w:rPr>
        <w:t xml:space="preserve"> taikant eksportuotų grąžintų prekių reikalavimus</w:t>
      </w:r>
      <w:r w:rsidR="001806AF" w:rsidRPr="0041134A">
        <w:rPr>
          <w:color w:val="000000"/>
        </w:rPr>
        <w:t>;</w:t>
      </w:r>
    </w:p>
    <w:p w:rsidR="001806A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806AF" w:rsidRPr="0041134A">
        <w:rPr>
          <w:color w:val="000000"/>
        </w:rPr>
        <w:t>.6.</w:t>
      </w:r>
      <w:r w:rsidR="0041134A">
        <w:rPr>
          <w:color w:val="000000"/>
        </w:rPr>
        <w:tab/>
      </w:r>
      <w:r w:rsidR="001236CF" w:rsidRPr="0041134A">
        <w:rPr>
          <w:color w:val="000000"/>
        </w:rPr>
        <w:t>anuliuotam kiekiui – „Eksportas sustabdytas“</w:t>
      </w:r>
      <w:r w:rsidR="00330BFC">
        <w:rPr>
          <w:color w:val="000000"/>
        </w:rPr>
        <w:t xml:space="preserve">, kai </w:t>
      </w:r>
      <w:r w:rsidR="00330BFC">
        <w:t>jeigu išvežimo įstaiga, atlikdama jai pateiktos eksporto deklaracijos ir (arba) atitinkamų prekių muitinį tikrinimą, nustato svarbius neatitikimus ir priima sprendimą neišleisti prekių</w:t>
      </w:r>
      <w:r w:rsidR="001236CF" w:rsidRPr="0041134A">
        <w:rPr>
          <w:color w:val="000000"/>
        </w:rPr>
        <w:t>;</w:t>
      </w:r>
    </w:p>
    <w:p w:rsidR="001236CF" w:rsidRPr="0041134A" w:rsidRDefault="00117697" w:rsidP="00117697">
      <w:pPr>
        <w:numPr>
          <w:ilvl w:val="0"/>
          <w:numId w:val="0"/>
        </w:numPr>
        <w:tabs>
          <w:tab w:val="clear" w:pos="284"/>
          <w:tab w:val="clear" w:pos="454"/>
          <w:tab w:val="left" w:pos="1134"/>
          <w:tab w:val="left" w:pos="1276"/>
          <w:tab w:val="left" w:pos="1418"/>
        </w:tabs>
        <w:spacing w:line="240" w:lineRule="auto"/>
        <w:ind w:firstLine="851"/>
        <w:rPr>
          <w:color w:val="000000"/>
        </w:rPr>
      </w:pPr>
      <w:r>
        <w:rPr>
          <w:color w:val="000000"/>
        </w:rPr>
        <w:t>4</w:t>
      </w:r>
      <w:r w:rsidR="001236CF" w:rsidRPr="0041134A">
        <w:rPr>
          <w:color w:val="000000"/>
        </w:rPr>
        <w:t>.7.</w:t>
      </w:r>
      <w:r w:rsidR="0041134A">
        <w:rPr>
          <w:color w:val="000000"/>
        </w:rPr>
        <w:tab/>
      </w:r>
      <w:r w:rsidR="001236CF" w:rsidRPr="0041134A">
        <w:rPr>
          <w:color w:val="000000"/>
        </w:rPr>
        <w:t>kiekiui, kuriam išduotas išrašas – „Išrašas“;</w:t>
      </w:r>
    </w:p>
    <w:p w:rsidR="001236CF" w:rsidRPr="0041134A" w:rsidRDefault="00117697" w:rsidP="00117697">
      <w:pPr>
        <w:numPr>
          <w:ilvl w:val="0"/>
          <w:numId w:val="0"/>
        </w:numPr>
        <w:tabs>
          <w:tab w:val="clear" w:pos="284"/>
          <w:tab w:val="clear" w:pos="454"/>
          <w:tab w:val="left" w:pos="1134"/>
          <w:tab w:val="left" w:pos="1276"/>
          <w:tab w:val="left" w:pos="1418"/>
        </w:tabs>
        <w:spacing w:line="240" w:lineRule="auto"/>
        <w:ind w:firstLine="851"/>
      </w:pPr>
      <w:r>
        <w:rPr>
          <w:color w:val="000000"/>
        </w:rPr>
        <w:t>4</w:t>
      </w:r>
      <w:bookmarkStart w:id="7" w:name="_GoBack"/>
      <w:bookmarkEnd w:id="7"/>
      <w:r w:rsidR="001236CF" w:rsidRPr="0041134A">
        <w:rPr>
          <w:color w:val="000000"/>
        </w:rPr>
        <w:t>.8.</w:t>
      </w:r>
      <w:r w:rsidR="0041134A">
        <w:rPr>
          <w:color w:val="000000"/>
        </w:rPr>
        <w:tab/>
      </w:r>
      <w:r w:rsidR="001236CF" w:rsidRPr="0041134A">
        <w:rPr>
          <w:color w:val="000000"/>
        </w:rPr>
        <w:t xml:space="preserve">kiekiui dėl licencijos duomenų taisymo </w:t>
      </w:r>
      <w:r w:rsidR="00E332BA" w:rsidRPr="0041134A">
        <w:rPr>
          <w:color w:val="000000"/>
        </w:rPr>
        <w:t>–</w:t>
      </w:r>
      <w:r w:rsidR="00202349" w:rsidRPr="0041134A">
        <w:rPr>
          <w:color w:val="000000"/>
        </w:rPr>
        <w:t xml:space="preserve"> </w:t>
      </w:r>
      <w:r w:rsidR="00E332BA" w:rsidRPr="0041134A">
        <w:rPr>
          <w:color w:val="000000"/>
        </w:rPr>
        <w:t>.„Taisyta“</w:t>
      </w:r>
      <w:r w:rsidR="0041134A">
        <w:rPr>
          <w:color w:val="000000"/>
        </w:rPr>
        <w:t>.</w:t>
      </w:r>
    </w:p>
    <w:p w:rsidR="00495EF7" w:rsidRPr="0041134A" w:rsidRDefault="00495EF7" w:rsidP="00117697">
      <w:pPr>
        <w:numPr>
          <w:ilvl w:val="0"/>
          <w:numId w:val="12"/>
        </w:numPr>
        <w:tabs>
          <w:tab w:val="clear" w:pos="284"/>
          <w:tab w:val="clear" w:pos="454"/>
          <w:tab w:val="left" w:pos="1134"/>
          <w:tab w:val="left" w:pos="1276"/>
          <w:tab w:val="left" w:pos="1418"/>
        </w:tabs>
        <w:spacing w:line="240" w:lineRule="auto"/>
        <w:ind w:left="0" w:firstLine="851"/>
      </w:pPr>
      <w:bookmarkStart w:id="8" w:name="part_f56f2326300840188c835494bd3aa1b3"/>
      <w:bookmarkEnd w:id="8"/>
      <w:r w:rsidRPr="0041134A">
        <w:rPr>
          <w:color w:val="000000"/>
        </w:rPr>
        <w:t xml:space="preserve">32-ame langelyje įrašomas </w:t>
      </w:r>
      <w:r w:rsidR="00E332BA" w:rsidRPr="0041134A">
        <w:rPr>
          <w:color w:val="000000"/>
        </w:rPr>
        <w:t>muitinės įstaigos kodas.</w:t>
      </w:r>
    </w:p>
    <w:p w:rsidR="00495EF7" w:rsidRPr="0041134A" w:rsidRDefault="00495EF7" w:rsidP="00117697">
      <w:pPr>
        <w:numPr>
          <w:ilvl w:val="0"/>
          <w:numId w:val="0"/>
        </w:numPr>
        <w:tabs>
          <w:tab w:val="clear" w:pos="284"/>
          <w:tab w:val="clear" w:pos="454"/>
          <w:tab w:val="left" w:pos="993"/>
        </w:tabs>
        <w:spacing w:line="240" w:lineRule="auto"/>
        <w:jc w:val="center"/>
      </w:pPr>
      <w:bookmarkStart w:id="9" w:name="part_4be51c00c77a466caa43abed712fba51"/>
      <w:bookmarkEnd w:id="9"/>
    </w:p>
    <w:p w:rsidR="0099732D" w:rsidRPr="00C270ED" w:rsidRDefault="0099732D" w:rsidP="00117697">
      <w:pPr>
        <w:numPr>
          <w:ilvl w:val="0"/>
          <w:numId w:val="0"/>
        </w:numPr>
        <w:spacing w:line="240" w:lineRule="auto"/>
        <w:jc w:val="center"/>
      </w:pPr>
      <w:r w:rsidRPr="00C270ED">
        <w:t>_______________________</w:t>
      </w:r>
    </w:p>
    <w:sectPr w:rsidR="0099732D" w:rsidRPr="00C270ED" w:rsidSect="006E111C">
      <w:headerReference w:type="default" r:id="rId7"/>
      <w:headerReference w:type="first" r:id="rId8"/>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88" w:rsidRDefault="00AD2D88" w:rsidP="0099732D">
      <w:pPr>
        <w:spacing w:line="240" w:lineRule="auto"/>
      </w:pPr>
      <w:r>
        <w:separator/>
      </w:r>
    </w:p>
  </w:endnote>
  <w:endnote w:type="continuationSeparator" w:id="0">
    <w:p w:rsidR="00AD2D88" w:rsidRDefault="00AD2D88" w:rsidP="0099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88" w:rsidRDefault="00AD2D88" w:rsidP="0099732D">
      <w:pPr>
        <w:spacing w:line="240" w:lineRule="auto"/>
      </w:pPr>
      <w:r>
        <w:separator/>
      </w:r>
    </w:p>
  </w:footnote>
  <w:footnote w:type="continuationSeparator" w:id="0">
    <w:p w:rsidR="00AD2D88" w:rsidRDefault="00AD2D88" w:rsidP="00997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ED" w:rsidRDefault="00C270ED" w:rsidP="00C270ED">
    <w:pPr>
      <w:pStyle w:val="Header"/>
      <w:numPr>
        <w:ilvl w:val="0"/>
        <w:numId w:val="0"/>
      </w:numPr>
      <w:ind w:left="1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ED" w:rsidRDefault="00C270ED" w:rsidP="00C270ED">
    <w:pPr>
      <w:pStyle w:val="Header"/>
      <w:numPr>
        <w:ilvl w:val="0"/>
        <w:numId w:val="0"/>
      </w:numPr>
      <w:ind w:left="15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FF"/>
    <w:multiLevelType w:val="multilevel"/>
    <w:tmpl w:val="5DFE41AE"/>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9A53157"/>
    <w:multiLevelType w:val="multilevel"/>
    <w:tmpl w:val="071E4290"/>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D96B2A"/>
    <w:multiLevelType w:val="hybridMultilevel"/>
    <w:tmpl w:val="0C822E0E"/>
    <w:lvl w:ilvl="0" w:tplc="28D6257E">
      <w:start w:val="1"/>
      <w:numFmt w:val="upperRoman"/>
      <w:lvlText w:val="%1."/>
      <w:lvlJc w:val="right"/>
      <w:pPr>
        <w:tabs>
          <w:tab w:val="num" w:pos="284"/>
        </w:tabs>
        <w:ind w:left="0" w:firstLine="0"/>
      </w:pPr>
      <w:rPr>
        <w:rFonts w:ascii="Times New Roman" w:hAnsi="Times New Roman" w:hint="default"/>
        <w:b/>
        <w:i w:val="0"/>
        <w:color w:val="auto"/>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3704813"/>
    <w:multiLevelType w:val="multilevel"/>
    <w:tmpl w:val="80804A7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9A25E49"/>
    <w:multiLevelType w:val="multilevel"/>
    <w:tmpl w:val="C11C0700"/>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816EB7"/>
    <w:multiLevelType w:val="multilevel"/>
    <w:tmpl w:val="7BD2B726"/>
    <w:lvl w:ilvl="0">
      <w:start w:val="1"/>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6" w15:restartNumberingAfterBreak="0">
    <w:nsid w:val="419B20B9"/>
    <w:multiLevelType w:val="multilevel"/>
    <w:tmpl w:val="19B2216E"/>
    <w:lvl w:ilvl="0">
      <w:start w:val="1"/>
      <w:numFmt w:val="decimal"/>
      <w:pStyle w:val="Normal"/>
      <w:lvlText w:val="%1."/>
      <w:lvlJc w:val="left"/>
      <w:pPr>
        <w:tabs>
          <w:tab w:val="num" w:pos="1571"/>
        </w:tabs>
        <w:ind w:left="157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200A2C"/>
    <w:multiLevelType w:val="multilevel"/>
    <w:tmpl w:val="C8FCE792"/>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497594"/>
    <w:multiLevelType w:val="multilevel"/>
    <w:tmpl w:val="F300DE44"/>
    <w:lvl w:ilvl="0">
      <w:start w:val="4"/>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50063ED8"/>
    <w:multiLevelType w:val="multilevel"/>
    <w:tmpl w:val="6F767BF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13E7EE4"/>
    <w:multiLevelType w:val="multilevel"/>
    <w:tmpl w:val="2C1C9BC0"/>
    <w:lvl w:ilvl="0">
      <w:start w:val="15"/>
      <w:numFmt w:val="decimal"/>
      <w:lvlText w:val="%1."/>
      <w:lvlJc w:val="left"/>
      <w:pPr>
        <w:tabs>
          <w:tab w:val="num" w:pos="720"/>
        </w:tabs>
        <w:ind w:left="720" w:hanging="360"/>
      </w:pPr>
      <w:rPr>
        <w:rFonts w:hint="default"/>
        <w:b w:val="0"/>
        <w:color w:val="auto"/>
      </w:rPr>
    </w:lvl>
    <w:lvl w:ilvl="1">
      <w:start w:val="10"/>
      <w:numFmt w:val="decimal"/>
      <w:isLgl/>
      <w:lvlText w:val="%2.2"/>
      <w:lvlJc w:val="left"/>
      <w:pPr>
        <w:tabs>
          <w:tab w:val="num" w:pos="3060"/>
        </w:tabs>
        <w:ind w:left="3060" w:hanging="360"/>
      </w:pPr>
      <w:rPr>
        <w:rFonts w:hint="default"/>
        <w:b w:val="0"/>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11" w15:restartNumberingAfterBreak="0">
    <w:nsid w:val="61B247C5"/>
    <w:multiLevelType w:val="hybridMultilevel"/>
    <w:tmpl w:val="88443A22"/>
    <w:lvl w:ilvl="0" w:tplc="8EC6DF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65516A0"/>
    <w:multiLevelType w:val="hybridMultilevel"/>
    <w:tmpl w:val="B9380B2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702A5853"/>
    <w:multiLevelType w:val="multilevel"/>
    <w:tmpl w:val="42A0688A"/>
    <w:lvl w:ilvl="0">
      <w:start w:val="6"/>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0761E3F"/>
    <w:multiLevelType w:val="multilevel"/>
    <w:tmpl w:val="168C454A"/>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73D634C4"/>
    <w:multiLevelType w:val="hybridMultilevel"/>
    <w:tmpl w:val="68784AE6"/>
    <w:lvl w:ilvl="0" w:tplc="AA74B1AC">
      <w:start w:val="1"/>
      <w:numFmt w:val="upperRoman"/>
      <w:pStyle w:val="Heading2"/>
      <w:lvlText w:val="%1."/>
      <w:lvlJc w:val="left"/>
      <w:pPr>
        <w:ind w:left="1146"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6"/>
  </w:num>
  <w:num w:numId="3">
    <w:abstractNumId w:val="9"/>
  </w:num>
  <w:num w:numId="4">
    <w:abstractNumId w:val="4"/>
  </w:num>
  <w:num w:numId="5">
    <w:abstractNumId w:val="12"/>
  </w:num>
  <w:num w:numId="6">
    <w:abstractNumId w:val="7"/>
  </w:num>
  <w:num w:numId="7">
    <w:abstractNumId w:val="8"/>
  </w:num>
  <w:num w:numId="8">
    <w:abstractNumId w:val="3"/>
  </w:num>
  <w:num w:numId="9">
    <w:abstractNumId w:val="1"/>
  </w:num>
  <w:num w:numId="10">
    <w:abstractNumId w:val="0"/>
  </w:num>
  <w:num w:numId="11">
    <w:abstractNumId w:val="13"/>
  </w:num>
  <w:num w:numId="12">
    <w:abstractNumId w:val="14"/>
  </w:num>
  <w:num w:numId="13">
    <w:abstractNumId w:val="11"/>
  </w:num>
  <w:num w:numId="14">
    <w:abstractNumId w:val="15"/>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2D"/>
    <w:rsid w:val="000047A1"/>
    <w:rsid w:val="00005202"/>
    <w:rsid w:val="0000736E"/>
    <w:rsid w:val="00023F5C"/>
    <w:rsid w:val="000363C3"/>
    <w:rsid w:val="00053FEA"/>
    <w:rsid w:val="00073A5D"/>
    <w:rsid w:val="00077440"/>
    <w:rsid w:val="00080C7B"/>
    <w:rsid w:val="000859AA"/>
    <w:rsid w:val="000A14D6"/>
    <w:rsid w:val="000A5453"/>
    <w:rsid w:val="000C440E"/>
    <w:rsid w:val="000D0670"/>
    <w:rsid w:val="000D2DE2"/>
    <w:rsid w:val="000E3E3E"/>
    <w:rsid w:val="000F72E9"/>
    <w:rsid w:val="00117697"/>
    <w:rsid w:val="00121448"/>
    <w:rsid w:val="001236CF"/>
    <w:rsid w:val="001430FD"/>
    <w:rsid w:val="00153702"/>
    <w:rsid w:val="00176646"/>
    <w:rsid w:val="001806AF"/>
    <w:rsid w:val="00190891"/>
    <w:rsid w:val="001970C1"/>
    <w:rsid w:val="001A687D"/>
    <w:rsid w:val="001E590F"/>
    <w:rsid w:val="001F664C"/>
    <w:rsid w:val="00202349"/>
    <w:rsid w:val="00256435"/>
    <w:rsid w:val="00275256"/>
    <w:rsid w:val="00283823"/>
    <w:rsid w:val="002E3FD6"/>
    <w:rsid w:val="003305E4"/>
    <w:rsid w:val="00330BFC"/>
    <w:rsid w:val="0034225C"/>
    <w:rsid w:val="00355DCD"/>
    <w:rsid w:val="0037166D"/>
    <w:rsid w:val="00373B34"/>
    <w:rsid w:val="00374C28"/>
    <w:rsid w:val="00374E9A"/>
    <w:rsid w:val="0038753B"/>
    <w:rsid w:val="00395246"/>
    <w:rsid w:val="003A3006"/>
    <w:rsid w:val="003C097D"/>
    <w:rsid w:val="003C138F"/>
    <w:rsid w:val="003F03C8"/>
    <w:rsid w:val="003F043E"/>
    <w:rsid w:val="003F3FAE"/>
    <w:rsid w:val="0041134A"/>
    <w:rsid w:val="00413D10"/>
    <w:rsid w:val="004275CB"/>
    <w:rsid w:val="0043269E"/>
    <w:rsid w:val="00441E09"/>
    <w:rsid w:val="00442881"/>
    <w:rsid w:val="00457550"/>
    <w:rsid w:val="004752B4"/>
    <w:rsid w:val="00476F28"/>
    <w:rsid w:val="0049405B"/>
    <w:rsid w:val="00495258"/>
    <w:rsid w:val="00495EF7"/>
    <w:rsid w:val="004A5755"/>
    <w:rsid w:val="004F1FF8"/>
    <w:rsid w:val="00513186"/>
    <w:rsid w:val="00517F73"/>
    <w:rsid w:val="00521E13"/>
    <w:rsid w:val="0054363C"/>
    <w:rsid w:val="00553FD9"/>
    <w:rsid w:val="00556987"/>
    <w:rsid w:val="00572AA5"/>
    <w:rsid w:val="00575C37"/>
    <w:rsid w:val="0058221C"/>
    <w:rsid w:val="00592054"/>
    <w:rsid w:val="005D18FF"/>
    <w:rsid w:val="005E1A91"/>
    <w:rsid w:val="005F76F3"/>
    <w:rsid w:val="005F7D02"/>
    <w:rsid w:val="006009DF"/>
    <w:rsid w:val="00604B52"/>
    <w:rsid w:val="00620E9A"/>
    <w:rsid w:val="00621224"/>
    <w:rsid w:val="006220F5"/>
    <w:rsid w:val="00636A95"/>
    <w:rsid w:val="006407AA"/>
    <w:rsid w:val="00641723"/>
    <w:rsid w:val="0064482C"/>
    <w:rsid w:val="006529C6"/>
    <w:rsid w:val="00670A74"/>
    <w:rsid w:val="006712E4"/>
    <w:rsid w:val="00675BE5"/>
    <w:rsid w:val="006817EA"/>
    <w:rsid w:val="00687559"/>
    <w:rsid w:val="0069483D"/>
    <w:rsid w:val="006B5BD0"/>
    <w:rsid w:val="006C1C1C"/>
    <w:rsid w:val="006C387E"/>
    <w:rsid w:val="006D0730"/>
    <w:rsid w:val="006D7346"/>
    <w:rsid w:val="006E111C"/>
    <w:rsid w:val="006E5683"/>
    <w:rsid w:val="006F080E"/>
    <w:rsid w:val="006F2493"/>
    <w:rsid w:val="00702DA1"/>
    <w:rsid w:val="0072201F"/>
    <w:rsid w:val="00723935"/>
    <w:rsid w:val="00725BF7"/>
    <w:rsid w:val="0075523F"/>
    <w:rsid w:val="00761123"/>
    <w:rsid w:val="007661A4"/>
    <w:rsid w:val="007669B6"/>
    <w:rsid w:val="00794E02"/>
    <w:rsid w:val="007B220F"/>
    <w:rsid w:val="007D46F6"/>
    <w:rsid w:val="007E1102"/>
    <w:rsid w:val="007F1450"/>
    <w:rsid w:val="0080333B"/>
    <w:rsid w:val="00804295"/>
    <w:rsid w:val="00811C50"/>
    <w:rsid w:val="0082732E"/>
    <w:rsid w:val="00845CEF"/>
    <w:rsid w:val="008510A7"/>
    <w:rsid w:val="00855E9A"/>
    <w:rsid w:val="00856B91"/>
    <w:rsid w:val="00861526"/>
    <w:rsid w:val="008817EB"/>
    <w:rsid w:val="00887BB6"/>
    <w:rsid w:val="0089696D"/>
    <w:rsid w:val="008B7618"/>
    <w:rsid w:val="008B7F72"/>
    <w:rsid w:val="008D5D47"/>
    <w:rsid w:val="008E0173"/>
    <w:rsid w:val="00915127"/>
    <w:rsid w:val="00916DA7"/>
    <w:rsid w:val="00920A4A"/>
    <w:rsid w:val="00927597"/>
    <w:rsid w:val="00942A78"/>
    <w:rsid w:val="00951DFA"/>
    <w:rsid w:val="00953B6F"/>
    <w:rsid w:val="00953F58"/>
    <w:rsid w:val="009644A1"/>
    <w:rsid w:val="0097765B"/>
    <w:rsid w:val="00981B66"/>
    <w:rsid w:val="009836EF"/>
    <w:rsid w:val="00987CCF"/>
    <w:rsid w:val="0099732D"/>
    <w:rsid w:val="009A409A"/>
    <w:rsid w:val="009B0ADD"/>
    <w:rsid w:val="009B6A80"/>
    <w:rsid w:val="009C1E9C"/>
    <w:rsid w:val="009C22AE"/>
    <w:rsid w:val="009D09A8"/>
    <w:rsid w:val="009D641C"/>
    <w:rsid w:val="009E11AC"/>
    <w:rsid w:val="009E1C05"/>
    <w:rsid w:val="009E28A1"/>
    <w:rsid w:val="009F2787"/>
    <w:rsid w:val="00A04094"/>
    <w:rsid w:val="00A07D94"/>
    <w:rsid w:val="00A153C9"/>
    <w:rsid w:val="00A24D8E"/>
    <w:rsid w:val="00A36A2F"/>
    <w:rsid w:val="00A54E4A"/>
    <w:rsid w:val="00A6111D"/>
    <w:rsid w:val="00A61B1B"/>
    <w:rsid w:val="00A70CDE"/>
    <w:rsid w:val="00A928FB"/>
    <w:rsid w:val="00A93D2F"/>
    <w:rsid w:val="00A96BCA"/>
    <w:rsid w:val="00A96E3F"/>
    <w:rsid w:val="00AB2260"/>
    <w:rsid w:val="00AB56E7"/>
    <w:rsid w:val="00AB5A1D"/>
    <w:rsid w:val="00AC3559"/>
    <w:rsid w:val="00AC6F96"/>
    <w:rsid w:val="00AD272D"/>
    <w:rsid w:val="00AD2D88"/>
    <w:rsid w:val="00AE6DFF"/>
    <w:rsid w:val="00B10A25"/>
    <w:rsid w:val="00B1118D"/>
    <w:rsid w:val="00B33E66"/>
    <w:rsid w:val="00B373BC"/>
    <w:rsid w:val="00B50537"/>
    <w:rsid w:val="00B8315D"/>
    <w:rsid w:val="00B877AE"/>
    <w:rsid w:val="00B9400F"/>
    <w:rsid w:val="00BA5376"/>
    <w:rsid w:val="00BA64A8"/>
    <w:rsid w:val="00BA7876"/>
    <w:rsid w:val="00BB19C1"/>
    <w:rsid w:val="00BB36F9"/>
    <w:rsid w:val="00BD3A00"/>
    <w:rsid w:val="00BD47C6"/>
    <w:rsid w:val="00BF3C61"/>
    <w:rsid w:val="00BF5F15"/>
    <w:rsid w:val="00C0482A"/>
    <w:rsid w:val="00C06C75"/>
    <w:rsid w:val="00C10419"/>
    <w:rsid w:val="00C153BF"/>
    <w:rsid w:val="00C26968"/>
    <w:rsid w:val="00C270ED"/>
    <w:rsid w:val="00C3475F"/>
    <w:rsid w:val="00C53956"/>
    <w:rsid w:val="00C57AF7"/>
    <w:rsid w:val="00C76A7C"/>
    <w:rsid w:val="00CA1004"/>
    <w:rsid w:val="00CD6B7B"/>
    <w:rsid w:val="00CF1259"/>
    <w:rsid w:val="00CF47E8"/>
    <w:rsid w:val="00D02A25"/>
    <w:rsid w:val="00D14FBB"/>
    <w:rsid w:val="00D24F0B"/>
    <w:rsid w:val="00D37408"/>
    <w:rsid w:val="00D50661"/>
    <w:rsid w:val="00D62D02"/>
    <w:rsid w:val="00D717BB"/>
    <w:rsid w:val="00D723D7"/>
    <w:rsid w:val="00D76233"/>
    <w:rsid w:val="00D769FC"/>
    <w:rsid w:val="00D77BC7"/>
    <w:rsid w:val="00D82755"/>
    <w:rsid w:val="00DA10DD"/>
    <w:rsid w:val="00DD06D9"/>
    <w:rsid w:val="00DD07C4"/>
    <w:rsid w:val="00DD28BB"/>
    <w:rsid w:val="00DE403E"/>
    <w:rsid w:val="00DF15AE"/>
    <w:rsid w:val="00E03F6A"/>
    <w:rsid w:val="00E12F2E"/>
    <w:rsid w:val="00E332BA"/>
    <w:rsid w:val="00E5074A"/>
    <w:rsid w:val="00E6513A"/>
    <w:rsid w:val="00E71D24"/>
    <w:rsid w:val="00E83E5B"/>
    <w:rsid w:val="00E90F9B"/>
    <w:rsid w:val="00E92C93"/>
    <w:rsid w:val="00EA4D6F"/>
    <w:rsid w:val="00ED4563"/>
    <w:rsid w:val="00EE71D9"/>
    <w:rsid w:val="00EF2932"/>
    <w:rsid w:val="00EF5CF1"/>
    <w:rsid w:val="00F000A1"/>
    <w:rsid w:val="00F00136"/>
    <w:rsid w:val="00F013C0"/>
    <w:rsid w:val="00F102E1"/>
    <w:rsid w:val="00F139F9"/>
    <w:rsid w:val="00F21A11"/>
    <w:rsid w:val="00F461EB"/>
    <w:rsid w:val="00F6395B"/>
    <w:rsid w:val="00F73F10"/>
    <w:rsid w:val="00F76704"/>
    <w:rsid w:val="00F8219B"/>
    <w:rsid w:val="00F94E97"/>
    <w:rsid w:val="00FB09BB"/>
    <w:rsid w:val="00FC361B"/>
    <w:rsid w:val="00FC369F"/>
    <w:rsid w:val="00FC4109"/>
    <w:rsid w:val="00FD0D39"/>
    <w:rsid w:val="00FD4A5B"/>
    <w:rsid w:val="00FE0917"/>
    <w:rsid w:val="00FF207E"/>
    <w:rsid w:val="00FF21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C6D65"/>
  <w15:docId w15:val="{D961BCBF-3466-409E-80BC-FD941006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2D"/>
    <w:pPr>
      <w:numPr>
        <w:numId w:val="2"/>
      </w:numPr>
      <w:tabs>
        <w:tab w:val="left" w:pos="284"/>
        <w:tab w:val="left" w:pos="454"/>
        <w:tab w:val="num" w:pos="1004"/>
      </w:tabs>
      <w:spacing w:after="0" w:line="360" w:lineRule="auto"/>
      <w:ind w:left="153"/>
      <w:jc w:val="both"/>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autoRedefine/>
    <w:qFormat/>
    <w:rsid w:val="002E3FD6"/>
    <w:pPr>
      <w:keepNext/>
      <w:numPr>
        <w:numId w:val="0"/>
      </w:numPr>
      <w:tabs>
        <w:tab w:val="clear" w:pos="284"/>
        <w:tab w:val="clear" w:pos="454"/>
        <w:tab w:val="num" w:pos="1571"/>
      </w:tabs>
      <w:spacing w:before="120" w:line="240" w:lineRule="auto"/>
      <w:ind w:firstLine="709"/>
      <w:jc w:val="center"/>
      <w:outlineLvl w:val="0"/>
    </w:pPr>
    <w:rPr>
      <w:rFonts w:cs="Arial"/>
      <w:b/>
      <w:bCs/>
      <w:caps/>
      <w:kern w:val="36"/>
      <w:szCs w:val="28"/>
      <w:lang w:val="en-US" w:eastAsia="en-US"/>
    </w:rPr>
  </w:style>
  <w:style w:type="paragraph" w:styleId="Heading2">
    <w:name w:val="heading 2"/>
    <w:basedOn w:val="Normal"/>
    <w:next w:val="Normal"/>
    <w:link w:val="Heading2Char"/>
    <w:autoRedefine/>
    <w:qFormat/>
    <w:rsid w:val="008D5D47"/>
    <w:pPr>
      <w:keepNext/>
      <w:numPr>
        <w:numId w:val="14"/>
      </w:numPr>
      <w:tabs>
        <w:tab w:val="clear" w:pos="284"/>
        <w:tab w:val="clear" w:pos="454"/>
        <w:tab w:val="left" w:pos="426"/>
        <w:tab w:val="num" w:pos="1571"/>
      </w:tabs>
      <w:spacing w:before="240" w:after="240" w:line="240" w:lineRule="auto"/>
      <w:ind w:left="0" w:firstLine="0"/>
      <w:jc w:val="center"/>
      <w:outlineLvl w:val="1"/>
    </w:pPr>
    <w:rPr>
      <w:rFonts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FD6"/>
    <w:rPr>
      <w:rFonts w:ascii="Times New Roman" w:eastAsia="Times New Roman" w:hAnsi="Times New Roman" w:cs="Arial"/>
      <w:b/>
      <w:bCs/>
      <w:caps/>
      <w:kern w:val="36"/>
      <w:sz w:val="24"/>
      <w:szCs w:val="28"/>
      <w:lang w:val="en-US"/>
    </w:rPr>
  </w:style>
  <w:style w:type="character" w:customStyle="1" w:styleId="Heading2Char">
    <w:name w:val="Heading 2 Char"/>
    <w:basedOn w:val="DefaultParagraphFont"/>
    <w:link w:val="Heading2"/>
    <w:rsid w:val="008D5D47"/>
    <w:rPr>
      <w:rFonts w:ascii="Times New Roman" w:eastAsia="Times New Roman" w:hAnsi="Times New Roman" w:cs="Arial"/>
      <w:b/>
      <w:bCs/>
      <w:iCs/>
      <w:sz w:val="24"/>
      <w:szCs w:val="28"/>
    </w:rPr>
  </w:style>
  <w:style w:type="paragraph" w:customStyle="1" w:styleId="lentel">
    <w:name w:val="lentelė"/>
    <w:basedOn w:val="TableofAuthorities"/>
    <w:rsid w:val="0099732D"/>
    <w:pPr>
      <w:numPr>
        <w:numId w:val="0"/>
      </w:numPr>
      <w:tabs>
        <w:tab w:val="left" w:pos="0"/>
        <w:tab w:val="left" w:pos="454"/>
      </w:tabs>
      <w:spacing w:line="240" w:lineRule="auto"/>
      <w:jc w:val="left"/>
    </w:pPr>
  </w:style>
  <w:style w:type="paragraph" w:customStyle="1" w:styleId="Lentelspavadinimas">
    <w:name w:val="Lentelės pavadinimas"/>
    <w:basedOn w:val="Normal"/>
    <w:link w:val="LentelspavadinimasCharChar"/>
    <w:rsid w:val="0099732D"/>
    <w:pPr>
      <w:numPr>
        <w:numId w:val="0"/>
      </w:numPr>
      <w:tabs>
        <w:tab w:val="left" w:pos="0"/>
        <w:tab w:val="num" w:pos="1571"/>
      </w:tabs>
      <w:spacing w:after="120" w:line="240" w:lineRule="auto"/>
    </w:pPr>
  </w:style>
  <w:style w:type="character" w:customStyle="1" w:styleId="LentelspavadinimasCharChar">
    <w:name w:val="Lentelės pavadinimas Char Char"/>
    <w:basedOn w:val="DefaultParagraphFont"/>
    <w:link w:val="Lentelspavadinimas"/>
    <w:rsid w:val="0099732D"/>
    <w:rPr>
      <w:rFonts w:ascii="Times New Roman" w:eastAsia="Times New Roman" w:hAnsi="Times New Roman" w:cs="Times New Roman"/>
      <w:sz w:val="24"/>
      <w:szCs w:val="24"/>
      <w:lang w:eastAsia="lt-LT"/>
    </w:rPr>
  </w:style>
  <w:style w:type="character" w:styleId="Hyperlink">
    <w:name w:val="Hyperlink"/>
    <w:basedOn w:val="DefaultParagraphFont"/>
    <w:uiPriority w:val="99"/>
    <w:rsid w:val="0099732D"/>
    <w:rPr>
      <w:color w:val="0000FF"/>
      <w:u w:val="single"/>
    </w:rPr>
  </w:style>
  <w:style w:type="paragraph" w:styleId="Footer">
    <w:name w:val="footer"/>
    <w:basedOn w:val="Normal"/>
    <w:link w:val="FooterChar"/>
    <w:semiHidden/>
    <w:rsid w:val="0099732D"/>
    <w:pPr>
      <w:numPr>
        <w:numId w:val="0"/>
      </w:numPr>
      <w:tabs>
        <w:tab w:val="clear" w:pos="284"/>
        <w:tab w:val="clear" w:pos="454"/>
        <w:tab w:val="num" w:pos="1571"/>
        <w:tab w:val="center" w:pos="4536"/>
        <w:tab w:val="right" w:pos="9072"/>
      </w:tabs>
      <w:spacing w:line="240" w:lineRule="auto"/>
      <w:jc w:val="left"/>
    </w:pPr>
    <w:rPr>
      <w:rFonts w:ascii="Arial" w:hAnsi="Arial" w:cs="Arial"/>
      <w:szCs w:val="16"/>
      <w:lang w:eastAsia="pl-PL"/>
    </w:rPr>
  </w:style>
  <w:style w:type="character" w:customStyle="1" w:styleId="FooterChar">
    <w:name w:val="Footer Char"/>
    <w:basedOn w:val="DefaultParagraphFont"/>
    <w:link w:val="Footer"/>
    <w:semiHidden/>
    <w:rsid w:val="0099732D"/>
    <w:rPr>
      <w:rFonts w:ascii="Arial" w:eastAsia="Times New Roman" w:hAnsi="Arial" w:cs="Arial"/>
      <w:sz w:val="24"/>
      <w:szCs w:val="16"/>
      <w:lang w:eastAsia="pl-PL"/>
    </w:rPr>
  </w:style>
  <w:style w:type="paragraph" w:styleId="TableofAuthorities">
    <w:name w:val="table of authorities"/>
    <w:basedOn w:val="Normal"/>
    <w:next w:val="Normal"/>
    <w:uiPriority w:val="99"/>
    <w:semiHidden/>
    <w:unhideWhenUsed/>
    <w:rsid w:val="0099732D"/>
    <w:pPr>
      <w:tabs>
        <w:tab w:val="clear" w:pos="284"/>
        <w:tab w:val="clear" w:pos="454"/>
        <w:tab w:val="clear" w:pos="1004"/>
      </w:tabs>
      <w:ind w:left="240" w:hanging="240"/>
    </w:pPr>
  </w:style>
  <w:style w:type="paragraph" w:styleId="Header">
    <w:name w:val="header"/>
    <w:basedOn w:val="Normal"/>
    <w:link w:val="HeaderChar"/>
    <w:uiPriority w:val="99"/>
    <w:unhideWhenUsed/>
    <w:rsid w:val="0099732D"/>
    <w:pPr>
      <w:tabs>
        <w:tab w:val="clear" w:pos="284"/>
        <w:tab w:val="clear" w:pos="454"/>
        <w:tab w:val="clear" w:pos="1004"/>
        <w:tab w:val="center" w:pos="4819"/>
        <w:tab w:val="right" w:pos="9638"/>
      </w:tabs>
      <w:spacing w:line="240" w:lineRule="auto"/>
    </w:pPr>
  </w:style>
  <w:style w:type="character" w:customStyle="1" w:styleId="HeaderChar">
    <w:name w:val="Header Char"/>
    <w:basedOn w:val="DefaultParagraphFont"/>
    <w:link w:val="Header"/>
    <w:uiPriority w:val="99"/>
    <w:rsid w:val="0099732D"/>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EA4D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6F"/>
    <w:rPr>
      <w:rFonts w:ascii="Tahoma" w:eastAsia="Times New Roman" w:hAnsi="Tahoma" w:cs="Tahoma"/>
      <w:sz w:val="16"/>
      <w:szCs w:val="16"/>
      <w:lang w:eastAsia="lt-LT"/>
    </w:rPr>
  </w:style>
  <w:style w:type="paragraph" w:styleId="ListParagraph">
    <w:name w:val="List Paragraph"/>
    <w:basedOn w:val="Normal"/>
    <w:uiPriority w:val="34"/>
    <w:qFormat/>
    <w:rsid w:val="0088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8716">
      <w:bodyDiv w:val="1"/>
      <w:marLeft w:val="0"/>
      <w:marRight w:val="0"/>
      <w:marTop w:val="0"/>
      <w:marBottom w:val="0"/>
      <w:divBdr>
        <w:top w:val="none" w:sz="0" w:space="0" w:color="auto"/>
        <w:left w:val="none" w:sz="0" w:space="0" w:color="auto"/>
        <w:bottom w:val="none" w:sz="0" w:space="0" w:color="auto"/>
        <w:right w:val="none" w:sz="0" w:space="0" w:color="auto"/>
      </w:divBdr>
    </w:div>
    <w:div w:id="897856974">
      <w:bodyDiv w:val="1"/>
      <w:marLeft w:val="0"/>
      <w:marRight w:val="0"/>
      <w:marTop w:val="0"/>
      <w:marBottom w:val="0"/>
      <w:divBdr>
        <w:top w:val="none" w:sz="0" w:space="0" w:color="auto"/>
        <w:left w:val="none" w:sz="0" w:space="0" w:color="auto"/>
        <w:bottom w:val="none" w:sz="0" w:space="0" w:color="auto"/>
        <w:right w:val="none" w:sz="0" w:space="0" w:color="auto"/>
      </w:divBdr>
    </w:div>
    <w:div w:id="1177698444">
      <w:bodyDiv w:val="1"/>
      <w:marLeft w:val="0"/>
      <w:marRight w:val="0"/>
      <w:marTop w:val="0"/>
      <w:marBottom w:val="0"/>
      <w:divBdr>
        <w:top w:val="none" w:sz="0" w:space="0" w:color="auto"/>
        <w:left w:val="none" w:sz="0" w:space="0" w:color="auto"/>
        <w:bottom w:val="none" w:sz="0" w:space="0" w:color="auto"/>
        <w:right w:val="none" w:sz="0" w:space="0" w:color="auto"/>
      </w:divBdr>
      <w:divsChild>
        <w:div w:id="464853816">
          <w:marLeft w:val="0"/>
          <w:marRight w:val="0"/>
          <w:marTop w:val="0"/>
          <w:marBottom w:val="0"/>
          <w:divBdr>
            <w:top w:val="none" w:sz="0" w:space="0" w:color="auto"/>
            <w:left w:val="none" w:sz="0" w:space="0" w:color="auto"/>
            <w:bottom w:val="none" w:sz="0" w:space="0" w:color="auto"/>
            <w:right w:val="none" w:sz="0" w:space="0" w:color="auto"/>
          </w:divBdr>
          <w:divsChild>
            <w:div w:id="1928032348">
              <w:marLeft w:val="0"/>
              <w:marRight w:val="0"/>
              <w:marTop w:val="0"/>
              <w:marBottom w:val="0"/>
              <w:divBdr>
                <w:top w:val="none" w:sz="0" w:space="0" w:color="auto"/>
                <w:left w:val="none" w:sz="0" w:space="0" w:color="auto"/>
                <w:bottom w:val="none" w:sz="0" w:space="0" w:color="auto"/>
                <w:right w:val="none" w:sz="0" w:space="0" w:color="auto"/>
              </w:divBdr>
              <w:divsChild>
                <w:div w:id="1265071493">
                  <w:marLeft w:val="0"/>
                  <w:marRight w:val="0"/>
                  <w:marTop w:val="0"/>
                  <w:marBottom w:val="0"/>
                  <w:divBdr>
                    <w:top w:val="none" w:sz="0" w:space="0" w:color="auto"/>
                    <w:left w:val="none" w:sz="0" w:space="0" w:color="auto"/>
                    <w:bottom w:val="none" w:sz="0" w:space="0" w:color="auto"/>
                    <w:right w:val="none" w:sz="0" w:space="0" w:color="auto"/>
                  </w:divBdr>
                  <w:divsChild>
                    <w:div w:id="1882477117">
                      <w:marLeft w:val="0"/>
                      <w:marRight w:val="0"/>
                      <w:marTop w:val="0"/>
                      <w:marBottom w:val="0"/>
                      <w:divBdr>
                        <w:top w:val="none" w:sz="0" w:space="0" w:color="auto"/>
                        <w:left w:val="none" w:sz="0" w:space="0" w:color="auto"/>
                        <w:bottom w:val="none" w:sz="0" w:space="0" w:color="auto"/>
                        <w:right w:val="none" w:sz="0" w:space="0" w:color="auto"/>
                      </w:divBdr>
                    </w:div>
                    <w:div w:id="1073704142">
                      <w:marLeft w:val="0"/>
                      <w:marRight w:val="0"/>
                      <w:marTop w:val="0"/>
                      <w:marBottom w:val="0"/>
                      <w:divBdr>
                        <w:top w:val="none" w:sz="0" w:space="0" w:color="auto"/>
                        <w:left w:val="none" w:sz="0" w:space="0" w:color="auto"/>
                        <w:bottom w:val="none" w:sz="0" w:space="0" w:color="auto"/>
                        <w:right w:val="none" w:sz="0" w:space="0" w:color="auto"/>
                      </w:divBdr>
                      <w:divsChild>
                        <w:div w:id="346760669">
                          <w:marLeft w:val="0"/>
                          <w:marRight w:val="0"/>
                          <w:marTop w:val="0"/>
                          <w:marBottom w:val="0"/>
                          <w:divBdr>
                            <w:top w:val="none" w:sz="0" w:space="0" w:color="auto"/>
                            <w:left w:val="none" w:sz="0" w:space="0" w:color="auto"/>
                            <w:bottom w:val="none" w:sz="0" w:space="0" w:color="auto"/>
                            <w:right w:val="none" w:sz="0" w:space="0" w:color="auto"/>
                          </w:divBdr>
                        </w:div>
                        <w:div w:id="728188047">
                          <w:marLeft w:val="0"/>
                          <w:marRight w:val="0"/>
                          <w:marTop w:val="0"/>
                          <w:marBottom w:val="0"/>
                          <w:divBdr>
                            <w:top w:val="none" w:sz="0" w:space="0" w:color="auto"/>
                            <w:left w:val="none" w:sz="0" w:space="0" w:color="auto"/>
                            <w:bottom w:val="none" w:sz="0" w:space="0" w:color="auto"/>
                            <w:right w:val="none" w:sz="0" w:space="0" w:color="auto"/>
                          </w:divBdr>
                        </w:div>
                        <w:div w:id="1311249301">
                          <w:marLeft w:val="0"/>
                          <w:marRight w:val="0"/>
                          <w:marTop w:val="0"/>
                          <w:marBottom w:val="0"/>
                          <w:divBdr>
                            <w:top w:val="none" w:sz="0" w:space="0" w:color="auto"/>
                            <w:left w:val="none" w:sz="0" w:space="0" w:color="auto"/>
                            <w:bottom w:val="none" w:sz="0" w:space="0" w:color="auto"/>
                            <w:right w:val="none" w:sz="0" w:space="0" w:color="auto"/>
                          </w:divBdr>
                        </w:div>
                      </w:divsChild>
                    </w:div>
                    <w:div w:id="769467932">
                      <w:marLeft w:val="0"/>
                      <w:marRight w:val="0"/>
                      <w:marTop w:val="0"/>
                      <w:marBottom w:val="0"/>
                      <w:divBdr>
                        <w:top w:val="none" w:sz="0" w:space="0" w:color="auto"/>
                        <w:left w:val="none" w:sz="0" w:space="0" w:color="auto"/>
                        <w:bottom w:val="none" w:sz="0" w:space="0" w:color="auto"/>
                        <w:right w:val="none" w:sz="0" w:space="0" w:color="auto"/>
                      </w:divBdr>
                      <w:divsChild>
                        <w:div w:id="1679965902">
                          <w:marLeft w:val="0"/>
                          <w:marRight w:val="0"/>
                          <w:marTop w:val="0"/>
                          <w:marBottom w:val="0"/>
                          <w:divBdr>
                            <w:top w:val="none" w:sz="0" w:space="0" w:color="auto"/>
                            <w:left w:val="none" w:sz="0" w:space="0" w:color="auto"/>
                            <w:bottom w:val="none" w:sz="0" w:space="0" w:color="auto"/>
                            <w:right w:val="none" w:sz="0" w:space="0" w:color="auto"/>
                          </w:divBdr>
                          <w:divsChild>
                            <w:div w:id="1396660735">
                              <w:marLeft w:val="0"/>
                              <w:marRight w:val="0"/>
                              <w:marTop w:val="0"/>
                              <w:marBottom w:val="0"/>
                              <w:divBdr>
                                <w:top w:val="none" w:sz="0" w:space="0" w:color="auto"/>
                                <w:left w:val="none" w:sz="0" w:space="0" w:color="auto"/>
                                <w:bottom w:val="none" w:sz="0" w:space="0" w:color="auto"/>
                                <w:right w:val="none" w:sz="0" w:space="0" w:color="auto"/>
                              </w:divBdr>
                            </w:div>
                            <w:div w:id="504323631">
                              <w:marLeft w:val="0"/>
                              <w:marRight w:val="0"/>
                              <w:marTop w:val="0"/>
                              <w:marBottom w:val="0"/>
                              <w:divBdr>
                                <w:top w:val="none" w:sz="0" w:space="0" w:color="auto"/>
                                <w:left w:val="none" w:sz="0" w:space="0" w:color="auto"/>
                                <w:bottom w:val="none" w:sz="0" w:space="0" w:color="auto"/>
                                <w:right w:val="none" w:sz="0" w:space="0" w:color="auto"/>
                              </w:divBdr>
                            </w:div>
                          </w:divsChild>
                        </w:div>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58428613">
                      <w:marLeft w:val="0"/>
                      <w:marRight w:val="0"/>
                      <w:marTop w:val="0"/>
                      <w:marBottom w:val="0"/>
                      <w:divBdr>
                        <w:top w:val="none" w:sz="0" w:space="0" w:color="auto"/>
                        <w:left w:val="none" w:sz="0" w:space="0" w:color="auto"/>
                        <w:bottom w:val="none" w:sz="0" w:space="0" w:color="auto"/>
                        <w:right w:val="none" w:sz="0" w:space="0" w:color="auto"/>
                      </w:divBdr>
                    </w:div>
                  </w:divsChild>
                </w:div>
                <w:div w:id="863976073">
                  <w:marLeft w:val="0"/>
                  <w:marRight w:val="0"/>
                  <w:marTop w:val="0"/>
                  <w:marBottom w:val="0"/>
                  <w:divBdr>
                    <w:top w:val="none" w:sz="0" w:space="0" w:color="auto"/>
                    <w:left w:val="none" w:sz="0" w:space="0" w:color="auto"/>
                    <w:bottom w:val="none" w:sz="0" w:space="0" w:color="auto"/>
                    <w:right w:val="none" w:sz="0" w:space="0" w:color="auto"/>
                  </w:divBdr>
                  <w:divsChild>
                    <w:div w:id="447162881">
                      <w:marLeft w:val="0"/>
                      <w:marRight w:val="0"/>
                      <w:marTop w:val="0"/>
                      <w:marBottom w:val="0"/>
                      <w:divBdr>
                        <w:top w:val="none" w:sz="0" w:space="0" w:color="auto"/>
                        <w:left w:val="none" w:sz="0" w:space="0" w:color="auto"/>
                        <w:bottom w:val="none" w:sz="0" w:space="0" w:color="auto"/>
                        <w:right w:val="none" w:sz="0" w:space="0" w:color="auto"/>
                      </w:divBdr>
                    </w:div>
                    <w:div w:id="1439182135">
                      <w:marLeft w:val="0"/>
                      <w:marRight w:val="0"/>
                      <w:marTop w:val="0"/>
                      <w:marBottom w:val="0"/>
                      <w:divBdr>
                        <w:top w:val="none" w:sz="0" w:space="0" w:color="auto"/>
                        <w:left w:val="none" w:sz="0" w:space="0" w:color="auto"/>
                        <w:bottom w:val="none" w:sz="0" w:space="0" w:color="auto"/>
                        <w:right w:val="none" w:sz="0" w:space="0" w:color="auto"/>
                      </w:divBdr>
                      <w:divsChild>
                        <w:div w:id="257255576">
                          <w:marLeft w:val="0"/>
                          <w:marRight w:val="0"/>
                          <w:marTop w:val="0"/>
                          <w:marBottom w:val="0"/>
                          <w:divBdr>
                            <w:top w:val="none" w:sz="0" w:space="0" w:color="auto"/>
                            <w:left w:val="none" w:sz="0" w:space="0" w:color="auto"/>
                            <w:bottom w:val="none" w:sz="0" w:space="0" w:color="auto"/>
                            <w:right w:val="none" w:sz="0" w:space="0" w:color="auto"/>
                          </w:divBdr>
                        </w:div>
                        <w:div w:id="961111582">
                          <w:marLeft w:val="0"/>
                          <w:marRight w:val="0"/>
                          <w:marTop w:val="0"/>
                          <w:marBottom w:val="0"/>
                          <w:divBdr>
                            <w:top w:val="none" w:sz="0" w:space="0" w:color="auto"/>
                            <w:left w:val="none" w:sz="0" w:space="0" w:color="auto"/>
                            <w:bottom w:val="none" w:sz="0" w:space="0" w:color="auto"/>
                            <w:right w:val="none" w:sz="0" w:space="0" w:color="auto"/>
                          </w:divBdr>
                        </w:div>
                        <w:div w:id="716902864">
                          <w:marLeft w:val="0"/>
                          <w:marRight w:val="0"/>
                          <w:marTop w:val="0"/>
                          <w:marBottom w:val="0"/>
                          <w:divBdr>
                            <w:top w:val="none" w:sz="0" w:space="0" w:color="auto"/>
                            <w:left w:val="none" w:sz="0" w:space="0" w:color="auto"/>
                            <w:bottom w:val="none" w:sz="0" w:space="0" w:color="auto"/>
                            <w:right w:val="none" w:sz="0" w:space="0" w:color="auto"/>
                          </w:divBdr>
                        </w:div>
                      </w:divsChild>
                    </w:div>
                    <w:div w:id="1692488741">
                      <w:marLeft w:val="0"/>
                      <w:marRight w:val="0"/>
                      <w:marTop w:val="0"/>
                      <w:marBottom w:val="0"/>
                      <w:divBdr>
                        <w:top w:val="none" w:sz="0" w:space="0" w:color="auto"/>
                        <w:left w:val="none" w:sz="0" w:space="0" w:color="auto"/>
                        <w:bottom w:val="none" w:sz="0" w:space="0" w:color="auto"/>
                        <w:right w:val="none" w:sz="0" w:space="0" w:color="auto"/>
                      </w:divBdr>
                      <w:divsChild>
                        <w:div w:id="756830177">
                          <w:marLeft w:val="0"/>
                          <w:marRight w:val="0"/>
                          <w:marTop w:val="0"/>
                          <w:marBottom w:val="0"/>
                          <w:divBdr>
                            <w:top w:val="none" w:sz="0" w:space="0" w:color="auto"/>
                            <w:left w:val="none" w:sz="0" w:space="0" w:color="auto"/>
                            <w:bottom w:val="none" w:sz="0" w:space="0" w:color="auto"/>
                            <w:right w:val="none" w:sz="0" w:space="0" w:color="auto"/>
                          </w:divBdr>
                        </w:div>
                        <w:div w:id="494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1055</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NMA</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Muilvydiene</dc:creator>
  <cp:keywords/>
  <dc:description/>
  <cp:lastModifiedBy>Sigutė Masalskienė</cp:lastModifiedBy>
  <cp:revision>2</cp:revision>
  <dcterms:created xsi:type="dcterms:W3CDTF">2016-09-29T07:55:00Z</dcterms:created>
  <dcterms:modified xsi:type="dcterms:W3CDTF">2016-09-29T07:55:00Z</dcterms:modified>
</cp:coreProperties>
</file>